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Bayes</w:t>
      </w:r>
      <w:r>
        <w:t xml:space="preserve"> </w:t>
      </w:r>
      <w:r>
        <w:t xml:space="preserve">assignment</w:t>
      </w:r>
      <w:r>
        <w:t xml:space="preserve"> </w:t>
      </w:r>
      <w:r>
        <w:t xml:space="preserve">1</w:t>
      </w:r>
    </w:p>
    <w:p>
      <w:pPr>
        <w:pStyle w:val="Author"/>
      </w:pPr>
      <w:r>
        <w:t xml:space="preserve">Sean</w:t>
      </w:r>
      <w:r>
        <w:t xml:space="preserve"> </w:t>
      </w:r>
      <w:r>
        <w:t xml:space="preserve">van</w:t>
      </w:r>
      <w:r>
        <w:t xml:space="preserve"> </w:t>
      </w:r>
      <w:r>
        <w:t xml:space="preserve">der</w:t>
      </w:r>
      <w:r>
        <w:t xml:space="preserve"> </w:t>
      </w:r>
      <w:r>
        <w:t xml:space="preserve">Merwe</w:t>
      </w:r>
    </w:p>
    <w:p>
      <w:pPr>
        <w:pStyle w:val="Date"/>
      </w:pPr>
      <w:r>
        <w:t xml:space="preserve">2022/03/25</w:t>
      </w:r>
    </w:p>
    <w:bookmarkStart w:id="20" w:name="currently-marking-student-2012345678"/>
    <w:p>
      <w:pPr>
        <w:pStyle w:val="Heading1"/>
      </w:pPr>
      <w:r>
        <w:t xml:space="preserve">Currently marking student 2012345678</w:t>
      </w:r>
    </w:p>
    <w:bookmarkEnd w:id="20"/>
    <w:bookmarkStart w:id="24" w:name="instructions"/>
    <w:p>
      <w:pPr>
        <w:pStyle w:val="Heading1"/>
      </w:pPr>
      <w:r>
        <w:t xml:space="preserve">Instructions</w:t>
      </w:r>
    </w:p>
    <w:p>
      <w:pPr>
        <w:pStyle w:val="FirstParagraph"/>
      </w:pPr>
      <w:r>
        <w:t xml:space="preserve">The goal of this assignment is to gain insight for yourself into the impact of prior distributions on modelling. Specifically, we will use the</w:t>
      </w:r>
      <w:r>
        <w:t xml:space="preserve"> </w:t>
      </w:r>
      <m:oMath>
        <m:r>
          <m:t>N</m:t>
        </m:r>
        <m:r>
          <m:t>o</m:t>
        </m:r>
        <m:r>
          <m:t>r</m:t>
        </m:r>
        <m:r>
          <m:t>m</m:t>
        </m:r>
        <m:r>
          <m:t>a</m:t>
        </m:r>
        <m:r>
          <m:t>l</m:t>
        </m:r>
        <m:d>
          <m:dPr>
            <m:begChr m:val="("/>
            <m:endChr m:val=")"/>
            <m:sepChr m:val=""/>
            <m:grow/>
          </m:dPr>
          <m:e>
            <m:r>
              <m:t>μ</m:t>
            </m:r>
            <m:r>
              <m:rPr>
                <m:sty m:val="p"/>
              </m:rPr>
              <m:t>,</m:t>
            </m:r>
            <m:r>
              <m:t>σ</m:t>
            </m:r>
          </m:e>
        </m:d>
      </m:oMath>
      <w:r>
        <w:t xml:space="preserve"> </w:t>
      </w:r>
      <w:r>
        <w:t xml:space="preserve">distribution that everyone is familiar with as an example, since we have</w:t>
      </w:r>
      <w:r>
        <w:t xml:space="preserve"> </w:t>
      </w:r>
      <w:r>
        <w:t xml:space="preserve">‘</w:t>
      </w:r>
      <w:r>
        <w:t xml:space="preserve">correct</w:t>
      </w:r>
      <w:r>
        <w:t xml:space="preserve">’</w:t>
      </w:r>
      <w:r>
        <w:t xml:space="preserve"> </w:t>
      </w:r>
      <w:r>
        <w:t xml:space="preserve">answers already derived for this problem. We will denote the standard deviation as</w:t>
      </w:r>
      <w:r>
        <w:t xml:space="preserve"> </w:t>
      </w:r>
      <m:oMath>
        <m:r>
          <m:t>σ</m:t>
        </m:r>
      </m:oMath>
      <w:r>
        <w:t xml:space="preserve"> </w:t>
      </w:r>
      <w:r>
        <w:t xml:space="preserve">and work directly with that notation, which is not the most common notation but becoming more popular.</w:t>
      </w:r>
    </w:p>
    <w:bookmarkStart w:id="21" w:name="part-a"/>
    <w:p>
      <w:pPr>
        <w:pStyle w:val="Heading2"/>
      </w:pPr>
      <w:r>
        <w:t xml:space="preserve">Part A</w:t>
      </w:r>
    </w:p>
    <w:p>
      <w:pPr>
        <w:numPr>
          <w:ilvl w:val="0"/>
          <w:numId w:val="1001"/>
        </w:numPr>
        <w:pStyle w:val="Compact"/>
      </w:pPr>
      <w:r>
        <w:t xml:space="preserve">Begin by simulating 5 samples from the standard Gaussian distribution. The samples must have size 20, 30, 40, 50, and 60.</w:t>
      </w:r>
    </w:p>
    <w:p>
      <w:pPr>
        <w:numPr>
          <w:ilvl w:val="0"/>
          <w:numId w:val="1001"/>
        </w:numPr>
        <w:pStyle w:val="Compact"/>
      </w:pPr>
      <w:r>
        <w:t xml:space="preserve">Create a single summary table (6 columns) showing descriptive statistics of your 5 samples, including at least: n, mean, sd, median, quartiles, min, max. [20]</w:t>
      </w:r>
    </w:p>
    <w:bookmarkEnd w:id="21"/>
    <w:bookmarkStart w:id="22" w:name="part-b"/>
    <w:p>
      <w:pPr>
        <w:pStyle w:val="Heading2"/>
      </w:pPr>
      <w:r>
        <w:t xml:space="preserve">Part B</w:t>
      </w:r>
    </w:p>
    <w:p>
      <w:pPr>
        <w:numPr>
          <w:ilvl w:val="0"/>
          <w:numId w:val="1002"/>
        </w:numPr>
        <w:pStyle w:val="Compact"/>
      </w:pPr>
      <w:r>
        <w:t xml:space="preserve">Find, give, and reference at least one commonly used objective prior for</w:t>
      </w:r>
      <w:r>
        <w:t xml:space="preserve"> </w:t>
      </w:r>
      <m:oMath>
        <m:r>
          <m:t>μ</m:t>
        </m:r>
      </m:oMath>
      <w:r>
        <w:t xml:space="preserve"> </w:t>
      </w:r>
      <w:r>
        <w:t xml:space="preserve">and</w:t>
      </w:r>
      <w:r>
        <w:t xml:space="preserve"> </w:t>
      </w:r>
      <m:oMath>
        <m:r>
          <m:t>σ</m:t>
        </m:r>
      </m:oMath>
      <w:r>
        <w:t xml:space="preserve">. [10]</w:t>
      </w:r>
    </w:p>
    <w:p>
      <w:pPr>
        <w:numPr>
          <w:ilvl w:val="0"/>
          <w:numId w:val="1002"/>
        </w:numPr>
        <w:pStyle w:val="Compact"/>
      </w:pPr>
      <w:r>
        <w:t xml:space="preserve">Why and how is the Empirical Bayes framework different to the more classical framework? [10]</w:t>
      </w:r>
    </w:p>
    <w:p>
      <w:pPr>
        <w:numPr>
          <w:ilvl w:val="0"/>
          <w:numId w:val="1002"/>
        </w:numPr>
        <w:pStyle w:val="Compact"/>
      </w:pPr>
      <w:r>
        <w:t xml:space="preserve">Give, in formula/equation form, the sampling distribution of the mean and standard deviation of each sample. Then derive the implied distributions of</w:t>
      </w:r>
      <w:r>
        <w:t xml:space="preserve"> </w:t>
      </w:r>
      <m:oMath>
        <m:r>
          <m:t>μ</m:t>
        </m:r>
      </m:oMath>
      <w:r>
        <w:t xml:space="preserve"> </w:t>
      </w:r>
      <w:r>
        <w:t xml:space="preserve">and</w:t>
      </w:r>
      <w:r>
        <w:t xml:space="preserve"> </w:t>
      </w:r>
      <m:oMath>
        <m:r>
          <m:t>σ</m:t>
        </m:r>
      </m:oMath>
      <w:r>
        <w:t xml:space="preserve"> </w:t>
      </w:r>
      <w:r>
        <w:t xml:space="preserve">(given</w:t>
      </w:r>
      <w:r>
        <w:t xml:space="preserve"> </w:t>
      </w:r>
      <m:oMath>
        <m:r>
          <m:t>n</m:t>
        </m:r>
      </m:oMath>
      <w:r>
        <w:t xml:space="preserve">). [5+5=10]</w:t>
      </w:r>
    </w:p>
    <w:p>
      <w:pPr>
        <w:pStyle w:val="FirstParagraph"/>
      </w:pPr>
      <w:r>
        <w:t xml:space="preserve">Lastly, for the questions below, also consider the following flawed priors:</w:t>
      </w:r>
      <w:r>
        <w:t xml:space="preserve"> </w:t>
      </w:r>
      <m:oMath>
        <m:r>
          <m:t>μ</m:t>
        </m:r>
        <m:r>
          <m:rPr>
            <m:sty m:val="p"/>
          </m:rPr>
          <m:t>∼</m:t>
        </m:r>
        <m:r>
          <m:t>N</m:t>
        </m:r>
        <m:d>
          <m:dPr>
            <m:begChr m:val="("/>
            <m:endChr m:val=")"/>
            <m:sepChr m:val=""/>
            <m:grow/>
          </m:dPr>
          <m:e>
            <m:r>
              <m:t>1</m:t>
            </m:r>
            <m:r>
              <m:rPr>
                <m:sty m:val="p"/>
              </m:rPr>
              <m:t>,</m:t>
            </m:r>
            <m:r>
              <m:t>1</m:t>
            </m:r>
          </m:e>
        </m:d>
      </m:oMath>
      <w:r>
        <w:t xml:space="preserve"> </w:t>
      </w:r>
      <w:r>
        <w:t xml:space="preserve">and</w:t>
      </w:r>
      <w:r>
        <w:t xml:space="preserve"> </w:t>
      </w:r>
      <m:oMath>
        <m:r>
          <m:t>σ</m:t>
        </m:r>
        <m:r>
          <m:rPr>
            <m:sty m:val="p"/>
          </m:rPr>
          <m:t>∼</m:t>
        </m:r>
        <m:sSubSup>
          <m:e>
            <m:r>
              <m:t>χ</m:t>
            </m:r>
          </m:e>
          <m:sub>
            <m:r>
              <m:t>n</m:t>
            </m:r>
            <m:r>
              <m:rPr>
                <m:sty m:val="p"/>
              </m:rPr>
              <m:t>−</m:t>
            </m:r>
            <m:r>
              <m:t>1</m:t>
            </m:r>
          </m:sub>
          <m:sup>
            <m:r>
              <m:t>2</m:t>
            </m:r>
          </m:sup>
        </m:sSubSup>
      </m:oMath>
      <w:r>
        <w:t xml:space="preserve">.</w:t>
      </w:r>
    </w:p>
    <w:bookmarkEnd w:id="22"/>
    <w:bookmarkStart w:id="23" w:name="part-c"/>
    <w:p>
      <w:pPr>
        <w:pStyle w:val="Heading2"/>
      </w:pPr>
      <w:r>
        <w:t xml:space="preserve">Part C</w:t>
      </w:r>
    </w:p>
    <w:p>
      <w:pPr>
        <w:numPr>
          <w:ilvl w:val="0"/>
          <w:numId w:val="1003"/>
        </w:numPr>
        <w:pStyle w:val="Compact"/>
      </w:pPr>
      <w:r>
        <w:t xml:space="preserve">For every combination of sample and prior, simulate 10000 samples from the joint posterior of</w:t>
      </w:r>
      <w:r>
        <w:t xml:space="preserve"> </w:t>
      </w:r>
      <m:oMath>
        <m:r>
          <m:t>μ</m:t>
        </m:r>
      </m:oMath>
      <w:r>
        <w:t xml:space="preserve"> </w:t>
      </w:r>
      <w:r>
        <w:t xml:space="preserve">and</w:t>
      </w:r>
      <w:r>
        <w:t xml:space="preserve"> </w:t>
      </w:r>
      <m:oMath>
        <m:r>
          <m:t>σ</m:t>
        </m:r>
      </m:oMath>
      <w:r>
        <w:t xml:space="preserve">.</w:t>
      </w:r>
    </w:p>
    <w:p>
      <w:pPr>
        <w:numPr>
          <w:ilvl w:val="0"/>
          <w:numId w:val="1003"/>
        </w:numPr>
        <w:pStyle w:val="Compact"/>
      </w:pPr>
      <w:r>
        <w:t xml:space="preserve">Summarise the simulations in the form of parameter estimates, via both the posterior mean and posterior median approaches. [2priors x 5samples x 2estimators = 20 marks]</w:t>
      </w:r>
    </w:p>
    <w:p>
      <w:pPr>
        <w:numPr>
          <w:ilvl w:val="0"/>
          <w:numId w:val="1003"/>
        </w:numPr>
        <w:pStyle w:val="Compact"/>
      </w:pPr>
      <w:r>
        <w:t xml:space="preserve">For fun, discuss any superficial patterns that you see in your parameter estimates, especially in relation to the true values that you know. [5]</w:t>
      </w:r>
    </w:p>
    <w:p>
      <w:pPr>
        <w:pStyle w:val="FirstParagraph"/>
      </w:pPr>
      <w:r>
        <w:t xml:space="preserve">[25 marks for generally following directions and neat presentation. All code must be shown and explained, even though mark allocation is only at items with distinct outputs. Negative marking will be implemented for hard coding and poor presentation.]</w:t>
      </w:r>
    </w:p>
    <w:bookmarkEnd w:id="23"/>
    <w:bookmarkEnd w:id="24"/>
    <w:bookmarkStart w:id="26" w:name="memorandum"/>
    <w:p>
      <w:pPr>
        <w:pStyle w:val="Heading1"/>
      </w:pPr>
      <w:r>
        <w:t xml:space="preserve">Memorandum</w:t>
      </w:r>
    </w:p>
    <w:bookmarkStart w:id="25" w:name="part-a-1"/>
    <w:p>
      <w:pPr>
        <w:pStyle w:val="Heading2"/>
      </w:pPr>
      <w:r>
        <w:t xml:space="preserve">Part A</w:t>
      </w:r>
    </w:p>
    <w:p>
      <w:pPr>
        <w:pStyle w:val="SourceCode"/>
      </w:pPr>
      <w:r>
        <w:rPr>
          <w:rStyle w:val="FunctionTok"/>
        </w:rPr>
        <w:t xml:space="preserve">seq</w:t>
      </w:r>
      <w:r>
        <w:rPr>
          <w:rStyle w:val="NormalTok"/>
        </w:rPr>
        <w:t xml:space="preserve">(</w:t>
      </w:r>
      <w:r>
        <w:rPr>
          <w:rStyle w:val="DecValTok"/>
        </w:rPr>
        <w:t xml:space="preserve">20</w:t>
      </w:r>
      <w:r>
        <w:rPr>
          <w:rStyle w:val="NormalTok"/>
        </w:rPr>
        <w:t xml:space="preserve">, </w:t>
      </w:r>
      <w:r>
        <w:rPr>
          <w:rStyle w:val="DecValTok"/>
        </w:rPr>
        <w:t xml:space="preserve">60</w:t>
      </w:r>
      <w:r>
        <w:rPr>
          <w:rStyle w:val="NormalTok"/>
        </w:rPr>
        <w:t xml:space="preserve">, </w:t>
      </w:r>
      <w:r>
        <w:rPr>
          <w:rStyle w:val="DecValTok"/>
        </w:rPr>
        <w:t xml:space="preserve">10</w:t>
      </w:r>
      <w:r>
        <w:rPr>
          <w:rStyle w:val="NormalTok"/>
        </w:rPr>
        <w:t xml:space="preserve">) </w:t>
      </w:r>
      <w:r>
        <w:rPr>
          <w:rStyle w:val="OtherTok"/>
        </w:rPr>
        <w:t xml:space="preserve">-&gt;</w:t>
      </w:r>
      <w:r>
        <w:rPr>
          <w:rStyle w:val="NormalTok"/>
        </w:rPr>
        <w:t xml:space="preserve"> n</w:t>
      </w:r>
      <w:r>
        <w:br/>
      </w:r>
      <w:r>
        <w:rPr>
          <w:rStyle w:val="NormalTok"/>
        </w:rPr>
        <w:t xml:space="preserve">n </w:t>
      </w:r>
      <w:r>
        <w:rPr>
          <w:rStyle w:val="SpecialCharTok"/>
        </w:rPr>
        <w:t xml:space="preserve">|</w:t>
      </w:r>
      <w:r>
        <w:rPr>
          <w:rStyle w:val="ErrorTok"/>
        </w:rPr>
        <w:t xml:space="preserve">&gt;</w:t>
      </w:r>
      <w:r>
        <w:rPr>
          <w:rStyle w:val="NormalTok"/>
        </w:rPr>
        <w:t xml:space="preserve"> </w:t>
      </w:r>
      <w:r>
        <w:rPr>
          <w:rStyle w:val="FunctionTok"/>
        </w:rPr>
        <w:t xml:space="preserve">lapply</w:t>
      </w:r>
      <w:r>
        <w:rPr>
          <w:rStyle w:val="NormalTok"/>
        </w:rPr>
        <w:t xml:space="preserve">(rnorm) </w:t>
      </w:r>
      <w:r>
        <w:rPr>
          <w:rStyle w:val="OtherTok"/>
        </w:rPr>
        <w:t xml:space="preserve">-&gt;</w:t>
      </w:r>
      <w:r>
        <w:rPr>
          <w:rStyle w:val="NormalTok"/>
        </w:rPr>
        <w:t xml:space="preserve"> smples</w:t>
      </w:r>
      <w:r>
        <w:br/>
      </w:r>
      <w:r>
        <w:br/>
      </w:r>
      <w:r>
        <w:rPr>
          <w:rStyle w:val="NormalTok"/>
        </w:rPr>
        <w:t xml:space="preserve">smples </w:t>
      </w:r>
      <w:r>
        <w:rPr>
          <w:rStyle w:val="SpecialCharTok"/>
        </w:rPr>
        <w:t xml:space="preserve">|</w:t>
      </w:r>
      <w:r>
        <w:rPr>
          <w:rStyle w:val="ErrorTok"/>
        </w:rPr>
        <w:t xml:space="preserve">&gt;</w:t>
      </w:r>
      <w:r>
        <w:rPr>
          <w:rStyle w:val="NormalTok"/>
        </w:rPr>
        <w:t xml:space="preserve"> </w:t>
      </w:r>
      <w:r>
        <w:rPr>
          <w:rStyle w:val="FunctionTok"/>
        </w:rPr>
        <w:t xml:space="preserve">sapply</w:t>
      </w:r>
      <w:r>
        <w:rPr>
          <w:rStyle w:val="NormalTok"/>
        </w:rPr>
        <w:t xml:space="preserve">(\(x) { </w:t>
      </w:r>
      <w:r>
        <w:rPr>
          <w:rStyle w:val="FunctionTok"/>
        </w:rPr>
        <w:t xml:space="preserve">c</w:t>
      </w:r>
      <w:r>
        <w:rPr>
          <w:rStyle w:val="NormalTok"/>
        </w:rPr>
        <w:t xml:space="preserve">(</w:t>
      </w:r>
      <w:r>
        <w:br/>
      </w:r>
      <w:r>
        <w:rPr>
          <w:rStyle w:val="NormalTok"/>
        </w:rPr>
        <w:t xml:space="preserve">  </w:t>
      </w:r>
      <w:r>
        <w:rPr>
          <w:rStyle w:val="AttributeTok"/>
        </w:rPr>
        <w:t xml:space="preserve">n =</w:t>
      </w:r>
      <w:r>
        <w:rPr>
          <w:rStyle w:val="NormalTok"/>
        </w:rPr>
        <w:t xml:space="preserve"> </w:t>
      </w:r>
      <w:r>
        <w:rPr>
          <w:rStyle w:val="FunctionTok"/>
        </w:rPr>
        <w:t xml:space="preserve">length</w:t>
      </w:r>
      <w:r>
        <w:rPr>
          <w:rStyle w:val="NormalTok"/>
        </w:rPr>
        <w:t xml:space="preserve">(x),</w:t>
      </w:r>
      <w:r>
        <w:br/>
      </w:r>
      <w:r>
        <w:rPr>
          <w:rStyle w:val="NormalTok"/>
        </w:rPr>
        <w:t xml:space="preserve">  </w:t>
      </w:r>
      <w:r>
        <w:rPr>
          <w:rStyle w:val="AttributeTok"/>
        </w:rPr>
        <w:t xml:space="preserve">Average =</w:t>
      </w:r>
      <w:r>
        <w:rPr>
          <w:rStyle w:val="NormalTok"/>
        </w:rPr>
        <w:t xml:space="preserve"> </w:t>
      </w:r>
      <w:r>
        <w:rPr>
          <w:rStyle w:val="FunctionTok"/>
        </w:rPr>
        <w:t xml:space="preserve">mean</w:t>
      </w:r>
      <w:r>
        <w:rPr>
          <w:rStyle w:val="NormalTok"/>
        </w:rPr>
        <w:t xml:space="preserve">(x),</w:t>
      </w:r>
      <w:r>
        <w:br/>
      </w:r>
      <w:r>
        <w:rPr>
          <w:rStyle w:val="NormalTok"/>
        </w:rPr>
        <w:t xml:space="preserve">  </w:t>
      </w:r>
      <w:r>
        <w:rPr>
          <w:rStyle w:val="AttributeTok"/>
        </w:rPr>
        <w:t xml:space="preserve">StdDev =</w:t>
      </w:r>
      <w:r>
        <w:rPr>
          <w:rStyle w:val="NormalTok"/>
        </w:rPr>
        <w:t xml:space="preserve"> </w:t>
      </w:r>
      <w:r>
        <w:rPr>
          <w:rStyle w:val="FunctionTok"/>
        </w:rPr>
        <w:t xml:space="preserve">sd</w:t>
      </w:r>
      <w:r>
        <w:rPr>
          <w:rStyle w:val="NormalTok"/>
        </w:rPr>
        <w:t xml:space="preserve">(x),</w:t>
      </w:r>
      <w:r>
        <w:br/>
      </w:r>
      <w:r>
        <w:rPr>
          <w:rStyle w:val="NormalTok"/>
        </w:rPr>
        <w:t xml:space="preserve">  </w:t>
      </w:r>
      <w:r>
        <w:rPr>
          <w:rStyle w:val="AttributeTok"/>
        </w:rPr>
        <w:t xml:space="preserve">Median =</w:t>
      </w:r>
      <w:r>
        <w:rPr>
          <w:rStyle w:val="NormalTok"/>
        </w:rPr>
        <w:t xml:space="preserve"> </w:t>
      </w:r>
      <w:r>
        <w:rPr>
          <w:rStyle w:val="FunctionTok"/>
        </w:rPr>
        <w:t xml:space="preserve">median</w:t>
      </w:r>
      <w:r>
        <w:rPr>
          <w:rStyle w:val="NormalTok"/>
        </w:rPr>
        <w:t xml:space="preserve">(x),</w:t>
      </w:r>
      <w:r>
        <w:br/>
      </w:r>
      <w:r>
        <w:rPr>
          <w:rStyle w:val="NormalTok"/>
        </w:rPr>
        <w:t xml:space="preserve">  </w:t>
      </w:r>
      <w:r>
        <w:rPr>
          <w:rStyle w:val="AttributeTok"/>
        </w:rPr>
        <w:t xml:space="preserve">LQ =</w:t>
      </w:r>
      <w:r>
        <w:rPr>
          <w:rStyle w:val="NormalTok"/>
        </w:rPr>
        <w:t xml:space="preserve"> </w:t>
      </w:r>
      <w:r>
        <w:rPr>
          <w:rStyle w:val="FunctionTok"/>
        </w:rPr>
        <w:t xml:space="preserve">quantile</w:t>
      </w:r>
      <w:r>
        <w:rPr>
          <w:rStyle w:val="NormalTok"/>
        </w:rPr>
        <w:t xml:space="preserve">(x, </w:t>
      </w:r>
      <w:r>
        <w:rPr>
          <w:rStyle w:val="FloatTok"/>
        </w:rPr>
        <w:t xml:space="preserve">0.25</w:t>
      </w:r>
      <w:r>
        <w:rPr>
          <w:rStyle w:val="NormalTok"/>
        </w:rPr>
        <w:t xml:space="preserve">),</w:t>
      </w:r>
      <w:r>
        <w:br/>
      </w:r>
      <w:r>
        <w:rPr>
          <w:rStyle w:val="NormalTok"/>
        </w:rPr>
        <w:t xml:space="preserve">  </w:t>
      </w:r>
      <w:r>
        <w:rPr>
          <w:rStyle w:val="AttributeTok"/>
        </w:rPr>
        <w:t xml:space="preserve">UQ =</w:t>
      </w:r>
      <w:r>
        <w:rPr>
          <w:rStyle w:val="NormalTok"/>
        </w:rPr>
        <w:t xml:space="preserve"> </w:t>
      </w:r>
      <w:r>
        <w:rPr>
          <w:rStyle w:val="FunctionTok"/>
        </w:rPr>
        <w:t xml:space="preserve">quantile</w:t>
      </w:r>
      <w:r>
        <w:rPr>
          <w:rStyle w:val="NormalTok"/>
        </w:rPr>
        <w:t xml:space="preserve">(x, </w:t>
      </w:r>
      <w:r>
        <w:rPr>
          <w:rStyle w:val="FloatTok"/>
        </w:rPr>
        <w:t xml:space="preserve">0.75</w:t>
      </w:r>
      <w:r>
        <w:rPr>
          <w:rStyle w:val="NormalTok"/>
        </w:rPr>
        <w:t xml:space="preserve">),</w:t>
      </w:r>
      <w:r>
        <w:br/>
      </w:r>
      <w:r>
        <w:rPr>
          <w:rStyle w:val="NormalTok"/>
        </w:rPr>
        <w:t xml:space="preserve">  </w:t>
      </w:r>
      <w:r>
        <w:rPr>
          <w:rStyle w:val="AttributeTok"/>
        </w:rPr>
        <w:t xml:space="preserve">Min =</w:t>
      </w:r>
      <w:r>
        <w:rPr>
          <w:rStyle w:val="NormalTok"/>
        </w:rPr>
        <w:t xml:space="preserve"> </w:t>
      </w:r>
      <w:r>
        <w:rPr>
          <w:rStyle w:val="FunctionTok"/>
        </w:rPr>
        <w:t xml:space="preserve">min</w:t>
      </w:r>
      <w:r>
        <w:rPr>
          <w:rStyle w:val="NormalTok"/>
        </w:rPr>
        <w:t xml:space="preserve">(x),</w:t>
      </w:r>
      <w:r>
        <w:br/>
      </w:r>
      <w:r>
        <w:rPr>
          <w:rStyle w:val="NormalTok"/>
        </w:rPr>
        <w:t xml:space="preserve">  </w:t>
      </w:r>
      <w:r>
        <w:rPr>
          <w:rStyle w:val="AttributeTok"/>
        </w:rPr>
        <w:t xml:space="preserve">Max =</w:t>
      </w:r>
      <w:r>
        <w:rPr>
          <w:rStyle w:val="NormalTok"/>
        </w:rPr>
        <w:t xml:space="preserve"> </w:t>
      </w:r>
      <w:r>
        <w:rPr>
          <w:rStyle w:val="FunctionTok"/>
        </w:rPr>
        <w:t xml:space="preserve">max</w:t>
      </w:r>
      <w:r>
        <w:rPr>
          <w:rStyle w:val="NormalTok"/>
        </w:rPr>
        <w:t xml:space="preserve">(x)</w:t>
      </w:r>
      <w:r>
        <w:br/>
      </w:r>
      <w:r>
        <w:rPr>
          <w:rStyle w:val="NormalTok"/>
        </w:rPr>
        <w:t xml:space="preserve">)}) </w:t>
      </w:r>
      <w:r>
        <w:rPr>
          <w:rStyle w:val="SpecialCharTok"/>
        </w:rPr>
        <w:t xml:space="preserve">|</w:t>
      </w:r>
      <w:r>
        <w:rPr>
          <w:rStyle w:val="ErrorTok"/>
        </w:rPr>
        <w:t xml:space="preserve">&gt;</w:t>
      </w:r>
      <w:r>
        <w:rPr>
          <w:rStyle w:val="NormalTok"/>
        </w:rPr>
        <w:t xml:space="preserve"> </w:t>
      </w:r>
      <w:r>
        <w:rPr>
          <w:rStyle w:val="FunctionTok"/>
        </w:rPr>
        <w:t xml:space="preserve">kable</w:t>
      </w:r>
      <w:r>
        <w:rPr>
          <w:rStyle w:val="NormalTok"/>
        </w:rPr>
        <w:t xml:space="preserve">(</w:t>
      </w:r>
      <w:r>
        <w:rPr>
          <w:rStyle w:val="AttributeTok"/>
        </w:rPr>
        <w:t xml:space="preserve">digits =</w:t>
      </w:r>
      <w:r>
        <w:rPr>
          <w:rStyle w:val="NormalTok"/>
        </w:rPr>
        <w:t xml:space="preserve"> </w:t>
      </w:r>
      <w:r>
        <w:rPr>
          <w:rStyle w:val="DecValTok"/>
        </w:rPr>
        <w:t xml:space="preserve">3</w:t>
      </w:r>
      <w:r>
        <w:rPr>
          <w:rStyle w:val="NormalTok"/>
        </w:rPr>
        <w:t xml:space="preserve">)</w:t>
      </w:r>
    </w:p>
    <w:tbl>
      <w:tblPr>
        <w:tblStyle w:val="Table"/>
        <w:tblW w:type="auto" w:w="0"/>
        <w:tblLook w:firstRow="0" w:lastRow="0" w:firstColumn="0" w:lastColumn="0" w:noHBand="0" w:noVBand="0" w:val="0000"/>
      </w:tblPr>
      <w:tblGrid>
        <w:gridCol w:w="1320"/>
        <w:gridCol w:w="1320"/>
        <w:gridCol w:w="1320"/>
        <w:gridCol w:w="1320"/>
        <w:gridCol w:w="1320"/>
        <w:gridCol w:w="1320"/>
      </w:tblGrid>
      <w:tr>
        <w:tc>
          <w:tcPr/>
          <w:p>
            <w:pPr>
              <w:pStyle w:val="Compact"/>
              <w:jc w:val="left"/>
            </w:pPr>
            <w:r>
              <w:t xml:space="preserve">n</w:t>
            </w:r>
          </w:p>
        </w:tc>
        <w:tc>
          <w:tcPr/>
          <w:p>
            <w:pPr>
              <w:pStyle w:val="Compact"/>
              <w:jc w:val="right"/>
            </w:pPr>
            <w:r>
              <w:t xml:space="preserve">20.000</w:t>
            </w:r>
          </w:p>
        </w:tc>
        <w:tc>
          <w:tcPr/>
          <w:p>
            <w:pPr>
              <w:pStyle w:val="Compact"/>
              <w:jc w:val="right"/>
            </w:pPr>
            <w:r>
              <w:t xml:space="preserve">30.000</w:t>
            </w:r>
          </w:p>
        </w:tc>
        <w:tc>
          <w:tcPr/>
          <w:p>
            <w:pPr>
              <w:pStyle w:val="Compact"/>
              <w:jc w:val="right"/>
            </w:pPr>
            <w:r>
              <w:t xml:space="preserve">40.000</w:t>
            </w:r>
          </w:p>
        </w:tc>
        <w:tc>
          <w:tcPr/>
          <w:p>
            <w:pPr>
              <w:pStyle w:val="Compact"/>
              <w:jc w:val="right"/>
            </w:pPr>
            <w:r>
              <w:t xml:space="preserve">50.000</w:t>
            </w:r>
          </w:p>
        </w:tc>
        <w:tc>
          <w:tcPr/>
          <w:p>
            <w:pPr>
              <w:pStyle w:val="Compact"/>
              <w:jc w:val="right"/>
            </w:pPr>
            <w:r>
              <w:t xml:space="preserve">60.000</w:t>
            </w:r>
          </w:p>
        </w:tc>
      </w:tr>
      <w:tr>
        <w:tc>
          <w:tcPr/>
          <w:p>
            <w:pPr>
              <w:pStyle w:val="Compact"/>
              <w:jc w:val="left"/>
            </w:pPr>
            <w:r>
              <w:t xml:space="preserve">Average</w:t>
            </w:r>
          </w:p>
        </w:tc>
        <w:tc>
          <w:tcPr/>
          <w:p>
            <w:pPr>
              <w:pStyle w:val="Compact"/>
              <w:jc w:val="right"/>
            </w:pPr>
            <w:r>
              <w:t xml:space="preserve">0.023</w:t>
            </w:r>
          </w:p>
        </w:tc>
        <w:tc>
          <w:tcPr/>
          <w:p>
            <w:pPr>
              <w:pStyle w:val="Compact"/>
              <w:jc w:val="right"/>
            </w:pPr>
            <w:r>
              <w:t xml:space="preserve">-0.232</w:t>
            </w:r>
          </w:p>
        </w:tc>
        <w:tc>
          <w:tcPr/>
          <w:p>
            <w:pPr>
              <w:pStyle w:val="Compact"/>
              <w:jc w:val="right"/>
            </w:pPr>
            <w:r>
              <w:t xml:space="preserve">-0.158</w:t>
            </w:r>
          </w:p>
        </w:tc>
        <w:tc>
          <w:tcPr/>
          <w:p>
            <w:pPr>
              <w:pStyle w:val="Compact"/>
              <w:jc w:val="right"/>
            </w:pPr>
            <w:r>
              <w:t xml:space="preserve">0.080</w:t>
            </w:r>
          </w:p>
        </w:tc>
        <w:tc>
          <w:tcPr/>
          <w:p>
            <w:pPr>
              <w:pStyle w:val="Compact"/>
              <w:jc w:val="right"/>
            </w:pPr>
            <w:r>
              <w:t xml:space="preserve">0.147</w:t>
            </w:r>
          </w:p>
        </w:tc>
      </w:tr>
      <w:tr>
        <w:tc>
          <w:tcPr/>
          <w:p>
            <w:pPr>
              <w:pStyle w:val="Compact"/>
              <w:jc w:val="left"/>
            </w:pPr>
            <w:r>
              <w:t xml:space="preserve">StdDev</w:t>
            </w:r>
          </w:p>
        </w:tc>
        <w:tc>
          <w:tcPr/>
          <w:p>
            <w:pPr>
              <w:pStyle w:val="Compact"/>
              <w:jc w:val="right"/>
            </w:pPr>
            <w:r>
              <w:t xml:space="preserve">0.804</w:t>
            </w:r>
          </w:p>
        </w:tc>
        <w:tc>
          <w:tcPr/>
          <w:p>
            <w:pPr>
              <w:pStyle w:val="Compact"/>
              <w:jc w:val="right"/>
            </w:pPr>
            <w:r>
              <w:t xml:space="preserve">0.866</w:t>
            </w:r>
          </w:p>
        </w:tc>
        <w:tc>
          <w:tcPr/>
          <w:p>
            <w:pPr>
              <w:pStyle w:val="Compact"/>
              <w:jc w:val="right"/>
            </w:pPr>
            <w:r>
              <w:t xml:space="preserve">1.148</w:t>
            </w:r>
          </w:p>
        </w:tc>
        <w:tc>
          <w:tcPr/>
          <w:p>
            <w:pPr>
              <w:pStyle w:val="Compact"/>
              <w:jc w:val="right"/>
            </w:pPr>
            <w:r>
              <w:t xml:space="preserve">0.787</w:t>
            </w:r>
          </w:p>
        </w:tc>
        <w:tc>
          <w:tcPr/>
          <w:p>
            <w:pPr>
              <w:pStyle w:val="Compact"/>
              <w:jc w:val="right"/>
            </w:pPr>
            <w:r>
              <w:t xml:space="preserve">1.026</w:t>
            </w:r>
          </w:p>
        </w:tc>
      </w:tr>
      <w:tr>
        <w:tc>
          <w:tcPr/>
          <w:p>
            <w:pPr>
              <w:pStyle w:val="Compact"/>
              <w:jc w:val="left"/>
            </w:pPr>
            <w:r>
              <w:t xml:space="preserve">Median</w:t>
            </w:r>
          </w:p>
        </w:tc>
        <w:tc>
          <w:tcPr/>
          <w:p>
            <w:pPr>
              <w:pStyle w:val="Compact"/>
              <w:jc w:val="right"/>
            </w:pPr>
            <w:r>
              <w:t xml:space="preserve">-0.151</w:t>
            </w:r>
          </w:p>
        </w:tc>
        <w:tc>
          <w:tcPr/>
          <w:p>
            <w:pPr>
              <w:pStyle w:val="Compact"/>
              <w:jc w:val="right"/>
            </w:pPr>
            <w:r>
              <w:t xml:space="preserve">-0.114</w:t>
            </w:r>
          </w:p>
        </w:tc>
        <w:tc>
          <w:tcPr/>
          <w:p>
            <w:pPr>
              <w:pStyle w:val="Compact"/>
              <w:jc w:val="right"/>
            </w:pPr>
            <w:r>
              <w:t xml:space="preserve">-0.139</w:t>
            </w:r>
          </w:p>
        </w:tc>
        <w:tc>
          <w:tcPr/>
          <w:p>
            <w:pPr>
              <w:pStyle w:val="Compact"/>
              <w:jc w:val="right"/>
            </w:pPr>
            <w:r>
              <w:t xml:space="preserve">-0.033</w:t>
            </w:r>
          </w:p>
        </w:tc>
        <w:tc>
          <w:tcPr/>
          <w:p>
            <w:pPr>
              <w:pStyle w:val="Compact"/>
              <w:jc w:val="right"/>
            </w:pPr>
            <w:r>
              <w:t xml:space="preserve">0.143</w:t>
            </w:r>
          </w:p>
        </w:tc>
      </w:tr>
      <w:tr>
        <w:tc>
          <w:tcPr/>
          <w:p>
            <w:pPr>
              <w:pStyle w:val="Compact"/>
              <w:jc w:val="left"/>
            </w:pPr>
            <w:r>
              <w:t xml:space="preserve">LQ.25%</w:t>
            </w:r>
          </w:p>
        </w:tc>
        <w:tc>
          <w:tcPr/>
          <w:p>
            <w:pPr>
              <w:pStyle w:val="Compact"/>
              <w:jc w:val="right"/>
            </w:pPr>
            <w:r>
              <w:t xml:space="preserve">-0.487</w:t>
            </w:r>
          </w:p>
        </w:tc>
        <w:tc>
          <w:tcPr/>
          <w:p>
            <w:pPr>
              <w:pStyle w:val="Compact"/>
              <w:jc w:val="right"/>
            </w:pPr>
            <w:r>
              <w:t xml:space="preserve">-0.776</w:t>
            </w:r>
          </w:p>
        </w:tc>
        <w:tc>
          <w:tcPr/>
          <w:p>
            <w:pPr>
              <w:pStyle w:val="Compact"/>
              <w:jc w:val="right"/>
            </w:pPr>
            <w:r>
              <w:t xml:space="preserve">-0.759</w:t>
            </w:r>
          </w:p>
        </w:tc>
        <w:tc>
          <w:tcPr/>
          <w:p>
            <w:pPr>
              <w:pStyle w:val="Compact"/>
              <w:jc w:val="right"/>
            </w:pPr>
            <w:r>
              <w:t xml:space="preserve">-0.454</w:t>
            </w:r>
          </w:p>
        </w:tc>
        <w:tc>
          <w:tcPr/>
          <w:p>
            <w:pPr>
              <w:pStyle w:val="Compact"/>
              <w:jc w:val="right"/>
            </w:pPr>
            <w:r>
              <w:t xml:space="preserve">-0.535</w:t>
            </w:r>
          </w:p>
        </w:tc>
      </w:tr>
      <w:tr>
        <w:tc>
          <w:tcPr/>
          <w:p>
            <w:pPr>
              <w:pStyle w:val="Compact"/>
              <w:jc w:val="left"/>
            </w:pPr>
            <w:r>
              <w:t xml:space="preserve">UQ.75%</w:t>
            </w:r>
          </w:p>
        </w:tc>
        <w:tc>
          <w:tcPr/>
          <w:p>
            <w:pPr>
              <w:pStyle w:val="Compact"/>
              <w:jc w:val="right"/>
            </w:pPr>
            <w:r>
              <w:t xml:space="preserve">0.387</w:t>
            </w:r>
          </w:p>
        </w:tc>
        <w:tc>
          <w:tcPr/>
          <w:p>
            <w:pPr>
              <w:pStyle w:val="Compact"/>
              <w:jc w:val="right"/>
            </w:pPr>
            <w:r>
              <w:t xml:space="preserve">0.422</w:t>
            </w:r>
          </w:p>
        </w:tc>
        <w:tc>
          <w:tcPr/>
          <w:p>
            <w:pPr>
              <w:pStyle w:val="Compact"/>
              <w:jc w:val="right"/>
            </w:pPr>
            <w:r>
              <w:t xml:space="preserve">0.463</w:t>
            </w:r>
          </w:p>
        </w:tc>
        <w:tc>
          <w:tcPr/>
          <w:p>
            <w:pPr>
              <w:pStyle w:val="Compact"/>
              <w:jc w:val="right"/>
            </w:pPr>
            <w:r>
              <w:t xml:space="preserve">0.549</w:t>
            </w:r>
          </w:p>
        </w:tc>
        <w:tc>
          <w:tcPr/>
          <w:p>
            <w:pPr>
              <w:pStyle w:val="Compact"/>
              <w:jc w:val="right"/>
            </w:pPr>
            <w:r>
              <w:t xml:space="preserve">0.922</w:t>
            </w:r>
          </w:p>
        </w:tc>
      </w:tr>
      <w:tr>
        <w:tc>
          <w:tcPr/>
          <w:p>
            <w:pPr>
              <w:pStyle w:val="Compact"/>
              <w:jc w:val="left"/>
            </w:pPr>
            <w:r>
              <w:t xml:space="preserve">Min</w:t>
            </w:r>
          </w:p>
        </w:tc>
        <w:tc>
          <w:tcPr/>
          <w:p>
            <w:pPr>
              <w:pStyle w:val="Compact"/>
              <w:jc w:val="right"/>
            </w:pPr>
            <w:r>
              <w:t xml:space="preserve">-1.399</w:t>
            </w:r>
          </w:p>
        </w:tc>
        <w:tc>
          <w:tcPr/>
          <w:p>
            <w:pPr>
              <w:pStyle w:val="Compact"/>
              <w:jc w:val="right"/>
            </w:pPr>
            <w:r>
              <w:t xml:space="preserve">-1.989</w:t>
            </w:r>
          </w:p>
        </w:tc>
        <w:tc>
          <w:tcPr/>
          <w:p>
            <w:pPr>
              <w:pStyle w:val="Compact"/>
              <w:jc w:val="right"/>
            </w:pPr>
            <w:r>
              <w:t xml:space="preserve">-2.565</w:t>
            </w:r>
          </w:p>
        </w:tc>
        <w:tc>
          <w:tcPr/>
          <w:p>
            <w:pPr>
              <w:pStyle w:val="Compact"/>
              <w:jc w:val="right"/>
            </w:pPr>
            <w:r>
              <w:t xml:space="preserve">-1.452</w:t>
            </w:r>
          </w:p>
        </w:tc>
        <w:tc>
          <w:tcPr/>
          <w:p>
            <w:pPr>
              <w:pStyle w:val="Compact"/>
              <w:jc w:val="right"/>
            </w:pPr>
            <w:r>
              <w:t xml:space="preserve">-2.132</w:t>
            </w:r>
          </w:p>
        </w:tc>
      </w:tr>
      <w:tr>
        <w:tc>
          <w:tcPr/>
          <w:p>
            <w:pPr>
              <w:pStyle w:val="Compact"/>
              <w:jc w:val="left"/>
            </w:pPr>
            <w:r>
              <w:t xml:space="preserve">Max</w:t>
            </w:r>
          </w:p>
        </w:tc>
        <w:tc>
          <w:tcPr/>
          <w:p>
            <w:pPr>
              <w:pStyle w:val="Compact"/>
              <w:jc w:val="right"/>
            </w:pPr>
            <w:r>
              <w:t xml:space="preserve">1.661</w:t>
            </w:r>
          </w:p>
        </w:tc>
        <w:tc>
          <w:tcPr/>
          <w:p>
            <w:pPr>
              <w:pStyle w:val="Compact"/>
              <w:jc w:val="right"/>
            </w:pPr>
            <w:r>
              <w:t xml:space="preserve">1.564</w:t>
            </w:r>
          </w:p>
        </w:tc>
        <w:tc>
          <w:tcPr/>
          <w:p>
            <w:pPr>
              <w:pStyle w:val="Compact"/>
              <w:jc w:val="right"/>
            </w:pPr>
            <w:r>
              <w:t xml:space="preserve">2.158</w:t>
            </w:r>
          </w:p>
        </w:tc>
        <w:tc>
          <w:tcPr/>
          <w:p>
            <w:pPr>
              <w:pStyle w:val="Compact"/>
              <w:jc w:val="right"/>
            </w:pPr>
            <w:r>
              <w:t xml:space="preserve">1.678</w:t>
            </w:r>
          </w:p>
        </w:tc>
        <w:tc>
          <w:tcPr/>
          <w:p>
            <w:pPr>
              <w:pStyle w:val="Compact"/>
              <w:jc w:val="right"/>
            </w:pPr>
            <w:r>
              <w:t xml:space="preserve">2.092</w:t>
            </w:r>
          </w:p>
        </w:tc>
      </w:tr>
    </w:tbl>
    <w:bookmarkEnd w:id="25"/>
    <w:bookmarkEnd w:id="26"/>
    <w:sectPr w:rsidR="00980784" w:rsidRPr="00D45CEA" w:rsidSect="00434CE5">
      <w:footerReference r:id="rId9" w:type="default"/>
      <w:pgSz w:code="9" w:h="16838" w:w="11906"/>
      <w:pgMar w:bottom="720" w:footer="720" w:gutter="0" w:header="720" w:left="720" w:right="720" w:top="72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682860"/>
      <w:docPartObj>
        <w:docPartGallery w:val="Page Numbers (Bottom of Page)"/>
        <w:docPartUnique/>
      </w:docPartObj>
    </w:sdtPr>
    <w:sdtContent>
      <w:sdt>
        <w:sdtPr>
          <w:id w:val="1728636285"/>
          <w:docPartObj>
            <w:docPartGallery w:val="Page Numbers (Top of Page)"/>
            <w:docPartUnique/>
          </w:docPartObj>
        </w:sdtPr>
        <w:sdtContent>
          <w:p w:rsidR="00CB38BE" w:rsidRDefault="00CB38BE">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w:t>
            </w:r>
            <w:r>
              <w:rPr>
                <w:b/>
                <w:bCs/>
              </w:rPr>
              <w:fldChar w:fldCharType="end"/>
            </w:r>
          </w:p>
        </w:sdtContent>
      </w:sdt>
    </w:sdtContent>
  </w:sdt>
  <w:p w:rsidR="00CB38BE" w:rsidRDefault="00CB38B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170CD2DE"/>
    <w:multiLevelType w:val="multilevel"/>
    <w:tmpl w:val="2ABCF9D6"/>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15:restartNumberingAfterBreak="0" w:abstractNumId="1">
    <w:nsid w:val="2C1AE401"/>
    <w:multiLevelType w:val="multilevel"/>
    <w:tmpl w:val="11C2864A"/>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
    <w:abstractNumId w:val="0"/>
  </w:num>
  <w:num w:numId="2">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proofState w:grammar="clean" w:spelling="clean"/>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1" w:defLockedState="0" w:defQFormat="0" w:defSemiHidden="0" w:defUIPriority="0" w:defUnhideWhenUsed="0">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shd w:color="auto" w:fill="F8F8F8" w:val="clear"/>
      <w:wordWrap w:val="0"/>
    </w:pPr>
  </w:style>
  <w:style w:customStyle="1" w:styleId="KeywordTok" w:type="character">
    <w:name w:val="KeywordTok"/>
    <w:basedOn w:val="VerbatimChar"/>
    <w:rPr>
      <w:rFonts w:ascii="Consolas" w:hAnsi="Consolas"/>
      <w:b/>
      <w:color w:val="204A87"/>
      <w:sz w:val="22"/>
      <w:shd w:color="auto" w:fill="F8F8F8" w:val="clear"/>
    </w:rPr>
  </w:style>
  <w:style w:customStyle="1" w:styleId="DataTypeTok" w:type="character">
    <w:name w:val="DataTypeTok"/>
    <w:basedOn w:val="VerbatimChar"/>
    <w:rPr>
      <w:rFonts w:ascii="Consolas" w:hAnsi="Consolas"/>
      <w:color w:val="204A87"/>
      <w:sz w:val="22"/>
      <w:shd w:color="auto" w:fill="F8F8F8" w:val="clear"/>
    </w:rPr>
  </w:style>
  <w:style w:customStyle="1" w:styleId="DecValTok" w:type="character">
    <w:name w:val="DecValTok"/>
    <w:basedOn w:val="VerbatimChar"/>
    <w:rPr>
      <w:rFonts w:ascii="Consolas" w:hAnsi="Consolas"/>
      <w:color w:val="0000CF"/>
      <w:sz w:val="22"/>
      <w:shd w:color="auto" w:fill="F8F8F8" w:val="clear"/>
    </w:rPr>
  </w:style>
  <w:style w:customStyle="1" w:styleId="BaseNTok" w:type="character">
    <w:name w:val="BaseNTok"/>
    <w:basedOn w:val="VerbatimChar"/>
    <w:rPr>
      <w:rFonts w:ascii="Consolas" w:hAnsi="Consolas"/>
      <w:color w:val="0000CF"/>
      <w:sz w:val="22"/>
      <w:shd w:color="auto" w:fill="F8F8F8" w:val="clear"/>
    </w:rPr>
  </w:style>
  <w:style w:customStyle="1" w:styleId="FloatTok" w:type="character">
    <w:name w:val="FloatTok"/>
    <w:basedOn w:val="VerbatimChar"/>
    <w:rPr>
      <w:rFonts w:ascii="Consolas" w:hAnsi="Consolas"/>
      <w:color w:val="0000CF"/>
      <w:sz w:val="22"/>
      <w:shd w:color="auto" w:fill="F8F8F8" w:val="clear"/>
    </w:rPr>
  </w:style>
  <w:style w:customStyle="1" w:styleId="ConstantTok" w:type="character">
    <w:name w:val="ConstantTok"/>
    <w:basedOn w:val="VerbatimChar"/>
    <w:rPr>
      <w:rFonts w:ascii="Consolas" w:hAnsi="Consolas"/>
      <w:color w:val="000000"/>
      <w:sz w:val="22"/>
      <w:shd w:color="auto" w:fill="F8F8F8" w:val="clear"/>
    </w:rPr>
  </w:style>
  <w:style w:customStyle="1" w:styleId="CharTok" w:type="character">
    <w:name w:val="CharTok"/>
    <w:basedOn w:val="VerbatimChar"/>
    <w:rPr>
      <w:rFonts w:ascii="Consolas" w:hAnsi="Consolas"/>
      <w:color w:val="4E9A06"/>
      <w:sz w:val="22"/>
      <w:shd w:color="auto" w:fill="F8F8F8" w:val="clear"/>
    </w:rPr>
  </w:style>
  <w:style w:customStyle="1" w:styleId="SpecialCharTok" w:type="character">
    <w:name w:val="SpecialCharTok"/>
    <w:basedOn w:val="VerbatimChar"/>
    <w:rPr>
      <w:rFonts w:ascii="Consolas" w:hAnsi="Consolas"/>
      <w:color w:val="000000"/>
      <w:sz w:val="22"/>
      <w:shd w:color="auto" w:fill="F8F8F8" w:val="clear"/>
    </w:rPr>
  </w:style>
  <w:style w:customStyle="1" w:styleId="StringTok" w:type="character">
    <w:name w:val="StringTok"/>
    <w:basedOn w:val="VerbatimChar"/>
    <w:rPr>
      <w:rFonts w:ascii="Consolas" w:hAnsi="Consolas"/>
      <w:color w:val="4E9A06"/>
      <w:sz w:val="22"/>
      <w:shd w:color="auto" w:fill="F8F8F8" w:val="clear"/>
    </w:rPr>
  </w:style>
  <w:style w:customStyle="1" w:styleId="VerbatimStringTok" w:type="character">
    <w:name w:val="VerbatimStringTok"/>
    <w:basedOn w:val="VerbatimChar"/>
    <w:rPr>
      <w:rFonts w:ascii="Consolas" w:hAnsi="Consolas"/>
      <w:color w:val="4E9A06"/>
      <w:sz w:val="22"/>
      <w:shd w:color="auto" w:fill="F8F8F8" w:val="clear"/>
    </w:rPr>
  </w:style>
  <w:style w:customStyle="1" w:styleId="SpecialStringTok" w:type="character">
    <w:name w:val="SpecialStringTok"/>
    <w:basedOn w:val="VerbatimChar"/>
    <w:rPr>
      <w:rFonts w:ascii="Consolas" w:hAnsi="Consolas"/>
      <w:color w:val="4E9A06"/>
      <w:sz w:val="22"/>
      <w:shd w:color="auto" w:fill="F8F8F8" w:val="clear"/>
    </w:rPr>
  </w:style>
  <w:style w:customStyle="1" w:styleId="ImportTok" w:type="character">
    <w:name w:val="ImportTok"/>
    <w:basedOn w:val="VerbatimChar"/>
    <w:rPr>
      <w:rFonts w:ascii="Consolas" w:hAnsi="Consolas"/>
      <w:sz w:val="22"/>
      <w:shd w:color="auto" w:fill="F8F8F8" w:val="clear"/>
    </w:rPr>
  </w:style>
  <w:style w:customStyle="1" w:styleId="CommentTok" w:type="character">
    <w:name w:val="CommentTok"/>
    <w:basedOn w:val="VerbatimChar"/>
    <w:rPr>
      <w:rFonts w:ascii="Consolas" w:hAnsi="Consolas"/>
      <w:i/>
      <w:color w:val="8F5902"/>
      <w:sz w:val="22"/>
      <w:shd w:color="auto" w:fill="F8F8F8" w:val="clear"/>
    </w:rPr>
  </w:style>
  <w:style w:customStyle="1" w:styleId="DocumentationTok" w:type="character">
    <w:name w:val="DocumentationTok"/>
    <w:basedOn w:val="VerbatimChar"/>
    <w:rPr>
      <w:rFonts w:ascii="Consolas" w:hAnsi="Consolas"/>
      <w:b/>
      <w:i/>
      <w:color w:val="8F5902"/>
      <w:sz w:val="22"/>
      <w:shd w:color="auto" w:fill="F8F8F8" w:val="clear"/>
    </w:rPr>
  </w:style>
  <w:style w:customStyle="1" w:styleId="AnnotationTok" w:type="character">
    <w:name w:val="AnnotationTok"/>
    <w:basedOn w:val="VerbatimChar"/>
    <w:rPr>
      <w:rFonts w:ascii="Consolas" w:hAnsi="Consolas"/>
      <w:b/>
      <w:i/>
      <w:color w:val="8F5902"/>
      <w:sz w:val="22"/>
      <w:shd w:color="auto" w:fill="F8F8F8" w:val="clear"/>
    </w:rPr>
  </w:style>
  <w:style w:customStyle="1" w:styleId="CommentVarTok" w:type="character">
    <w:name w:val="CommentVarTok"/>
    <w:basedOn w:val="VerbatimChar"/>
    <w:rPr>
      <w:rFonts w:ascii="Consolas" w:hAnsi="Consolas"/>
      <w:b/>
      <w:i/>
      <w:color w:val="8F5902"/>
      <w:sz w:val="22"/>
      <w:shd w:color="auto" w:fill="F8F8F8" w:val="clear"/>
    </w:rPr>
  </w:style>
  <w:style w:customStyle="1" w:styleId="OtherTok" w:type="character">
    <w:name w:val="OtherTok"/>
    <w:basedOn w:val="VerbatimChar"/>
    <w:rPr>
      <w:rFonts w:ascii="Consolas" w:hAnsi="Consolas"/>
      <w:color w:val="8F5902"/>
      <w:sz w:val="22"/>
      <w:shd w:color="auto" w:fill="F8F8F8" w:val="clear"/>
    </w:rPr>
  </w:style>
  <w:style w:customStyle="1" w:styleId="FunctionTok" w:type="character">
    <w:name w:val="FunctionTok"/>
    <w:basedOn w:val="VerbatimChar"/>
    <w:rPr>
      <w:rFonts w:ascii="Consolas" w:hAnsi="Consolas"/>
      <w:color w:val="000000"/>
      <w:sz w:val="22"/>
      <w:shd w:color="auto" w:fill="F8F8F8" w:val="clear"/>
    </w:rPr>
  </w:style>
  <w:style w:customStyle="1" w:styleId="VariableTok" w:type="character">
    <w:name w:val="VariableTok"/>
    <w:basedOn w:val="VerbatimChar"/>
    <w:rPr>
      <w:rFonts w:ascii="Consolas" w:hAnsi="Consolas"/>
      <w:color w:val="000000"/>
      <w:sz w:val="22"/>
      <w:shd w:color="auto" w:fill="F8F8F8" w:val="clear"/>
    </w:rPr>
  </w:style>
  <w:style w:customStyle="1" w:styleId="ControlFlowTok" w:type="character">
    <w:name w:val="ControlFlowTok"/>
    <w:basedOn w:val="VerbatimChar"/>
    <w:rPr>
      <w:rFonts w:ascii="Consolas" w:hAnsi="Consolas"/>
      <w:b/>
      <w:color w:val="204A87"/>
      <w:sz w:val="22"/>
      <w:shd w:color="auto" w:fill="F8F8F8" w:val="clear"/>
    </w:rPr>
  </w:style>
  <w:style w:customStyle="1" w:styleId="OperatorTok" w:type="character">
    <w:name w:val="OperatorTok"/>
    <w:basedOn w:val="VerbatimChar"/>
    <w:rPr>
      <w:rFonts w:ascii="Consolas" w:hAnsi="Consolas"/>
      <w:b/>
      <w:color w:val="CE5C00"/>
      <w:sz w:val="22"/>
      <w:shd w:color="auto" w:fill="F8F8F8" w:val="clear"/>
    </w:rPr>
  </w:style>
  <w:style w:customStyle="1" w:styleId="BuiltInTok" w:type="character">
    <w:name w:val="BuiltInTok"/>
    <w:basedOn w:val="VerbatimChar"/>
    <w:rPr>
      <w:rFonts w:ascii="Consolas" w:hAnsi="Consolas"/>
      <w:sz w:val="22"/>
      <w:shd w:color="auto" w:fill="F8F8F8" w:val="clear"/>
    </w:rPr>
  </w:style>
  <w:style w:customStyle="1" w:styleId="ExtensionTok" w:type="character">
    <w:name w:val="ExtensionTok"/>
    <w:basedOn w:val="VerbatimChar"/>
    <w:rPr>
      <w:rFonts w:ascii="Consolas" w:hAnsi="Consolas"/>
      <w:sz w:val="22"/>
      <w:shd w:color="auto" w:fill="F8F8F8" w:val="clear"/>
    </w:rPr>
  </w:style>
  <w:style w:customStyle="1" w:styleId="PreprocessorTok" w:type="character">
    <w:name w:val="PreprocessorTok"/>
    <w:basedOn w:val="VerbatimChar"/>
    <w:rPr>
      <w:rFonts w:ascii="Consolas" w:hAnsi="Consolas"/>
      <w:i/>
      <w:color w:val="8F5902"/>
      <w:sz w:val="22"/>
      <w:shd w:color="auto" w:fill="F8F8F8" w:val="clear"/>
    </w:rPr>
  </w:style>
  <w:style w:customStyle="1" w:styleId="AttributeTok" w:type="character">
    <w:name w:val="AttributeTok"/>
    <w:basedOn w:val="VerbatimChar"/>
    <w:rPr>
      <w:rFonts w:ascii="Consolas" w:hAnsi="Consolas"/>
      <w:color w:val="C4A000"/>
      <w:sz w:val="22"/>
      <w:shd w:color="auto" w:fill="F8F8F8" w:val="clear"/>
    </w:rPr>
  </w:style>
  <w:style w:customStyle="1" w:styleId="RegionMarkerTok" w:type="character">
    <w:name w:val="RegionMarkerTok"/>
    <w:basedOn w:val="VerbatimChar"/>
    <w:rPr>
      <w:rFonts w:ascii="Consolas" w:hAnsi="Consolas"/>
      <w:sz w:val="22"/>
      <w:shd w:color="auto" w:fill="F8F8F8" w:val="clear"/>
    </w:rPr>
  </w:style>
  <w:style w:customStyle="1" w:styleId="InformationTok" w:type="character">
    <w:name w:val="InformationTok"/>
    <w:basedOn w:val="VerbatimChar"/>
    <w:rPr>
      <w:rFonts w:ascii="Consolas" w:hAnsi="Consolas"/>
      <w:b/>
      <w:i/>
      <w:color w:val="8F5902"/>
      <w:sz w:val="22"/>
      <w:shd w:color="auto" w:fill="F8F8F8" w:val="clear"/>
    </w:rPr>
  </w:style>
  <w:style w:customStyle="1" w:styleId="WarningTok" w:type="character">
    <w:name w:val="WarningTok"/>
    <w:basedOn w:val="VerbatimChar"/>
    <w:rPr>
      <w:rFonts w:ascii="Consolas" w:hAnsi="Consolas"/>
      <w:b/>
      <w:i/>
      <w:color w:val="8F5902"/>
      <w:sz w:val="22"/>
      <w:shd w:color="auto" w:fill="F8F8F8" w:val="clear"/>
    </w:rPr>
  </w:style>
  <w:style w:customStyle="1" w:styleId="AlertTok" w:type="character">
    <w:name w:val="AlertTok"/>
    <w:basedOn w:val="VerbatimChar"/>
    <w:rPr>
      <w:rFonts w:ascii="Consolas" w:hAnsi="Consolas"/>
      <w:color w:val="EF2929"/>
      <w:sz w:val="22"/>
      <w:shd w:color="auto" w:fill="F8F8F8" w:val="clear"/>
    </w:rPr>
  </w:style>
  <w:style w:customStyle="1" w:styleId="ErrorTok" w:type="character">
    <w:name w:val="ErrorTok"/>
    <w:basedOn w:val="VerbatimChar"/>
    <w:rPr>
      <w:rFonts w:ascii="Consolas" w:hAnsi="Consolas"/>
      <w:b/>
      <w:color w:val="A40000"/>
      <w:sz w:val="22"/>
      <w:shd w:color="auto" w:fill="F8F8F8" w:val="clear"/>
    </w:rPr>
  </w:style>
  <w:style w:customStyle="1" w:styleId="NormalTok" w:type="character">
    <w:name w:val="NormalTok"/>
    <w:basedOn w:val="VerbatimChar"/>
    <w:rPr>
      <w:rFonts w:ascii="Consolas" w:hAnsi="Consolas"/>
      <w:sz w:val="22"/>
      <w:shd w:color="auto" w:fill="F8F8F8" w:val="clear"/>
    </w:rPr>
  </w:style>
  <w:style w:styleId="Header" w:type="paragraph">
    <w:name w:val="header"/>
    <w:basedOn w:val="Normal"/>
    <w:link w:val="HeaderChar"/>
    <w:unhideWhenUsed/>
    <w:rsid w:val="00CB38BE"/>
    <w:pPr>
      <w:tabs>
        <w:tab w:pos="4513" w:val="center"/>
        <w:tab w:pos="9026" w:val="right"/>
      </w:tabs>
      <w:spacing w:after="0"/>
    </w:pPr>
  </w:style>
  <w:style w:customStyle="1" w:styleId="HeaderChar" w:type="character">
    <w:name w:val="Header Char"/>
    <w:basedOn w:val="DefaultParagraphFont"/>
    <w:link w:val="Header"/>
    <w:rsid w:val="00CB38BE"/>
  </w:style>
  <w:style w:styleId="Footer" w:type="paragraph">
    <w:name w:val="footer"/>
    <w:basedOn w:val="Normal"/>
    <w:link w:val="FooterChar"/>
    <w:uiPriority w:val="99"/>
    <w:unhideWhenUsed/>
    <w:rsid w:val="00CB38BE"/>
    <w:pPr>
      <w:tabs>
        <w:tab w:pos="4513" w:val="center"/>
        <w:tab w:pos="9026" w:val="right"/>
      </w:tabs>
      <w:spacing w:after="0"/>
    </w:pPr>
  </w:style>
  <w:style w:customStyle="1" w:styleId="FooterChar" w:type="character">
    <w:name w:val="Footer Char"/>
    <w:basedOn w:val="DefaultParagraphFont"/>
    <w:link w:val="Footer"/>
    <w:uiPriority w:val="99"/>
    <w:rsid w:val="00CB3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footer1.xml" Type="http://schemas.openxmlformats.org/officeDocument/2006/relationships/footer"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140</Words>
  <Characters>801</Characters>
  <Application>Microsoft Office Word</Application>
  <DocSecurity>0</DocSecurity>
  <Lines>6</Lines>
  <Paragraphs>1</Paragraphs>
  <ScaleCrop>false</ScaleCrop>
  <Company>University of the Free State</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Bayes assignment 1</dc:title>
  <dc:creator>Sean van der Merwe</dc:creator>
  <cp:keywords/>
  <dcterms:created xsi:type="dcterms:W3CDTF">2022-07-11T10:10:59Z</dcterms:created>
  <dcterms:modified xsi:type="dcterms:W3CDTF">2022-07-11T10:10:59Z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2022/03/25</vt:lpwstr>
  </property>
  <property fmtid="{D5CDD505-2E9C-101B-9397-08002B2CF9AE}" pid="3" name="output">
    <vt:lpwstr/>
  </property>
</Properties>
</file>